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both"/>
        <w:spacing w:before="222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2340"/>
        <w:gridCol w:w="1228"/>
        <w:gridCol w:w="1559"/>
      </w:tblGrid>
      <w:tr>
        <w:trPr>
          <w:trHeight w:val="270"/>
        </w:trPr>
        <w:tc>
          <w:tcPr>
            <w:gridSpan w:val="2"/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703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ПОЯСНИТЕЛЬНАЯ ЗАПИСКА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55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КОДЫ</w:t>
            </w:r>
            <w:r/>
          </w:p>
        </w:tc>
      </w:tr>
      <w:tr>
        <w:trPr>
          <w:trHeight w:val="282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Форма по ОКУД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60</w:t>
            </w:r>
            <w:r/>
          </w:p>
        </w:tc>
      </w:tr>
      <w:tr>
        <w:trPr>
          <w:trHeight w:val="282"/>
        </w:trPr>
        <w:tc>
          <w:tcPr>
            <w:gridSpan w:val="2"/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703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на 1  января 2024 г.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01.01.2024</w:t>
            </w:r>
            <w:r/>
          </w:p>
        </w:tc>
      </w:tr>
      <w:tr>
        <w:trPr>
          <w:trHeight w:val="2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распорядитель, распорядитель, 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vMerge w:val="restart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получатель бюджетных средств, </w:t>
            </w:r>
            <w:r/>
          </w:p>
        </w:tc>
        <w:tc>
          <w:tcPr>
            <w:shd w:val="clear" w:color="auto" w:fill="ffffff"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ОКПО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администратор, 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администратор доходов бюджета,</w:t>
            </w:r>
            <w:r/>
          </w:p>
        </w:tc>
        <w:tc>
          <w:tcPr>
            <w:shd w:val="clear" w:color="auto" w:fill="ffffff"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Глава по БК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82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администратор, администратор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vMerge w:val="restart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50630000</w:t>
            </w:r>
            <w:r/>
          </w:p>
        </w:tc>
      </w:tr>
      <w:tr>
        <w:trPr>
          <w:trHeight w:val="282"/>
        </w:trPr>
        <w:tc>
          <w:tcPr>
            <w:gridSpan w:val="2"/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703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источников финансирования дефицита бюджета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ind w:right="-250"/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по ОКТМО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82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бюджета 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Куйбышевский муниципальный район НСО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82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(публично-правового образования)</w:t>
            </w:r>
            <w:r/>
          </w:p>
        </w:tc>
        <w:tc>
          <w:tcPr>
            <w:shd w:val="clear" w:color="auto" w:fill="ffffff"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ОКЕИ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383</w:t>
            </w:r>
            <w:r/>
          </w:p>
        </w:tc>
      </w:tr>
      <w:tr>
        <w:trPr>
          <w:trHeight w:val="282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Периодичность: квартальная,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годовая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7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Единица измерения:  руб. 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7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7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9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bottom"/>
            <w:textDirection w:val="lrTb"/>
            <w:noWrap/>
          </w:tcPr>
          <w:p>
            <w:pPr>
              <w:jc w:val="both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</w:tbl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Раздел 1 «Организационная структура»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Куйбышевский муниципальный район (далее по тексту Куйбышевский район) образован в 1936 году.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 располагается в северно-западной части Новосибирской области на расстоянии 326 км от областного центра г. Новосибирска.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Территория района (общая площадь) составляет 8817,2 кв.м. Численность населения Куйбышевского района на 1 января 2023 года по данным статистики составила 54 201 человек. 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территории района расположено 18 муниципальных образований, объединяющих 78 населенных пунктов. Самыми крупными сельскими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населенными пунктами являются – села Нагорное (1694 чел.), Чумаково (984 чел.) и Абрамово (1453 чел.). Административный центр - г. Куйбышев с численностью населения 41 754 чел.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Куйбышевского муниципального района 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восибирской области осуществляют свою деятельность на основании Закона от 06.10.2003 года №131-ФЗ «Об общих принципах организации местного самоуправления в Российской Федерации», Конституции Российской Федерации, Устава и других нормативно-правовых актов. 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целях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реализации Федерального закона от 06.10.2003 № 131-ФЗ «Об общих принципах организации местного самоуправления в Российской Федерации» сформирована вся необходимая нормативная правовая база, гарантирующая гражданам района осуществление их права на местное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самоуправление. Во всех 19 муниципальных образованиях приняты нормативные правовых акты, необходимые для реализации вопросов местного значения, которые своевременно приводятся в соответствие в связи с изменениями федерального и областного законодательства.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уйбышевский район для экономического развития и роста качества жизни населения имеет достаточно развитую транспортную сеть, сеть инженерных коммуникаций, необходимый резерв трудовых ресурсов, сеть учреждений образования, культуры, здравоохранения и спорта.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территории района расположены предприятия химической промышленности, машиностроения, полиграфии, легкой промышленности, торговли, строительной индустрии, сельскохозяйственные предприятия и личные подсобные хозяйства населения.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Куйбышевский район располагает развитой социальной и культурной инфраструктурой. 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Раздел 2 «Результаты деятельности»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93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Специалисты бухгалтерских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служб при ведении бюджетного учета руководствуются Законом от 06.12.2011г. № 402-ФЗ «О бухгалтерском учете, Единым планом счетов бухгалтерского учёта, утвержденным приказом МФ РФ от 01.12.2010г. № 157н, Инструкцией о порядке составления, представления год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овой, квартальной и месячной отчетности об исполнении бюджетов бюджетной системы Российской Федерации, утвержденной приказом МФ РФ от 28.12.2010г. № 191н, Приказом Приказ Минфина России от 29.11.2017 N 209н "Об утверждении Порядка применения классификации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операций сектора государственного управления", Бюджетной классификацией, утвержденной Приказом Минфина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24.05.2022 № 82н "О Порядке формирования и применения кодов бюджетной классификации Российской Федерации, их структуре и принципах назначения", налоговым кодексом Российской Федерации, приказами учреждений об учетной политике и др. нормативными актами.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бюджетной и бухгалтерской отчётности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программного обеспечения; «1С: Бухгалтерский учёт (бюджет)», «1С: Зарплата», пп ООО «Пульс Плюс» («Бюджетная отчётность», «Бухучёт НП», «Зарплата-Парус»), для казначейского исполнения местного бюджета «АС Бюджет» и АС «УРМ».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целях повышения квалификации главные бухгалтера муниципальных учреждений и поселений в течение 2023 года принимали участие в семинарах по вопросам, касающихся бюджетного учета и составления бюджетной и налоговой отчетности.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процессе ведения учета хозяйственных операций в учреждениях района осуществляется контроль в целях эффективного и целевого расходования подотчетных средств, расходования горюче-смазочных материалов, хозяйственных материалов, канцелярских товаров. </w:t>
      </w:r>
      <w:r/>
    </w:p>
    <w:p>
      <w:pPr>
        <w:ind w:firstLine="94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Раздел 3 «Анализ отчета об исполнении бюджета Куйбышевского района»</w:t>
      </w:r>
      <w:r/>
    </w:p>
    <w:p>
      <w:pPr>
        <w:ind w:firstLine="539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ДОХОДНАЯ ЧАСТЬ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Доходная часть Куйбышевского района исполнена в объеме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187 210 485,07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что составляет 98,4% к уточненным годовым плановым назначениям (3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237 984 474,68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руб.).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741 948 929,68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в бюджет района в 2023 году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664 690 498,85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Дотация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выравнивание бюджетной обеспеченности при плане 96 303 400,00 руб. поступило 96 303 400,00 руб. (100%). 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149 033 879,80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112 318 501,21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96,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Неисполнение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36 715 378,59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из них: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реализацию мероприятий по оздоровлению детей государственной программы Новосибирской области "Социальная поддержка в Новосибирской области" в сумме 950,00руб. (возвращены в октябре 2023года);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строительство (приобретение на первичном рынке) служебного жилья подпрограммы "Строительство (приобретение на первичном рынке) служ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сумме 6 191 535,79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оплату расходов, связа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нных со строительством специализированного жилищного фонда для предоставления отдельным категориям граждан, государственной программы Новосибирской области "Стимулирование развития жилищного строительства в Новосибирской области" в сумме 4 050 662,77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реализацию мероприятий по стро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в сумме 14 097 735,99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9 264 892,96руб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-на реализацию государственной программы Новосибирской области "Комплексное развитие сельских территорий (реализация проектов, направленных на создание комфортных условий проживания в сельской местности)" в сумме 300,00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и учащейся молодёжи в Новосибирской области" в сумме 194,86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приобретение оборудования 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в сумме 87 051,47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подготовку градостроительной документации и (или) внесение изменений в нее) государственной программы Новосибирской области «Стимулирование развития жилищного строительства в Новосибирской области» в сумме 844 541,67руб.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проведение поддержание безопасного технического состояния гидротехнических сооружений Новосибирской области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программы Новосибирской области "Охрана окружающей среды” в сумме 419 320,00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осуществление полномочий по организации регулярных перевозок пассажиров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багажа по муниципальным маршрутам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в сумме 85 693,08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в сумме 1 672 500,00 руб.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Субвенции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поступили в сумме 1 313 129 260,85 руб. при плане 1 328 810 743,77 руб. или 98,8%, недополучено из областного бюджета в сумме 15 681 482,92 руб., и из них: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осуществление строительства жилых помещений с целью оказания государственной поддержки детям-сиротам и детям, оставшихся без попечения родителей в сумме 11 904,22руб.;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предоставление жилых помещений детям-сиротам и детям, оставшихся без попечения родителей, лиц из их числа по договорам найма специализированных жилых помещений в сумме 180 399,95руб.;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реализацию основных общеобразовательных программ в муниципальных общеобразовательных организациях в сумме 1 076 300,00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реализацию основных общеобразовательных программ дошкольного образования в муниципальных образовательных организациях в сумме 1 309  500,00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 организации получения образования обучающимися с ограничен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сумме 1 097 500,00руб.;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организацию и осуществление деятельности по опеке и попечительству, социальной поддержке детей-сирот и детей, оставшихся без попечения родителей в сумме 2 251 500,00руб.;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 социальной поддержки отдельных категорий, обучающихся в образовательных организациях в сумме 9 000 000,00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образование и организацию деятельности комиссий по делам несовершеннолетних и защите их прав в сумме 722 600,00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 в сумме 16,00руб.;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 в сумме 31 762,75 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Иные межбюджетные трансферты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167 425 906,11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163 813 320,43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97,8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%, неисполнение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3 612 585,68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из них: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2 733 142,71 руб.;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      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ежемесячное денежное вознаграждение за классное руковод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сумме 628 640,76руб.;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3 658,60 руб.;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реализацию мероприятий по ресурсному обеспечению модернизации образования Новосибирской области подпрограммы "Развитие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в сумме 0,03 руб. (возвращены в ноябре 2023);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развитие новых форм и технологий социального обслуживания семей с детьми государственной программы Новосибирской области "Социальная поддержка в Новосибирской области" в сумме 58 662,90 руб. (возвращены в декабре 2023);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в сумме 0,13руб.;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-средства, передаваемые местным бюджетам из резервного фонда Правительства Новосибирской области в сумме 13 470,00руб.;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сумме 175 000,00 руб. (возвращены в ноябре 2023);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     -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сумме 10,55 руб.;</w:t>
      </w:r>
      <w:r/>
    </w:p>
    <w:p>
      <w:pPr>
        <w:ind w:firstLine="53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Безвозмездные поступления от негосударственных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375 000,00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375 000,00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100%.</w:t>
      </w:r>
      <w:r/>
    </w:p>
    <w:p>
      <w:pPr>
        <w:ind w:firstLine="53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виду доходов поступили денежные средства: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Сибирского Банка ПАО Сбербанк – 150 000,00 руб. (для МКОУ школа – интернат);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Банк «Левобережный» ПАО – 225 000 руб. из них: для МКОУ школа – интернат 60 000,00 руб., для ДОУ Сказка 50 000,00 руб., для ДОУ Тополек 40 000,00 руб., для ДОУ Солнышко 40 000,00 руб., для ДОУ Журавлик 35 000,00 руб.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53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Поступление налоговых и неналого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вых доходов в бюджет составило 522 519 986,22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496 035 545,00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left="142"/>
        <w:jc w:val="both"/>
        <w:spacing w:before="100" w:before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Налоги на прибыль, доходы (Налог на доходы физических лиц)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345 772 500,00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371 613 602,57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%. По сравнению с аналогичным периодом прошлого года поступило налога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54 286 909,90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больше или на 17,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 xml:space="preserve">Это связано с индексацией фондов оплаты труда и увеличением МРОТ.</w:t>
      </w:r>
      <w:r/>
    </w:p>
    <w:p>
      <w:pPr>
        <w:ind w:left="142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Налоги на товары (работы, услуги), реализуемые на территории Российской Федерации в виде акцизов по подакцизным товарам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4 847 820,00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4 952 197,33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102,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 что больше факта аналогичного периода прошлого года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371 550,17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Налоги на совокупный доход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56 097 220,00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57 204 187,14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в т.ч.: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-налог, взимаемый в связи с применением упрощенной системы налогообложения при плане 50 761 700,00 руб. поступило 52 086 868,44руб.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или 102,6%. По сравнению с 2022 годом поступление налога уменьшилось на                       780 713,60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 обусловлено переходом на ЕНП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-единый налог на вмененный доход для отдельных видов деятельности поступило (- 231 007,27) руб.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(возврат переплаты плательщику).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-единый сельскохозяйственный налог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1 835 500,00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1 835 529,41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По сравнению с 2022 годом увеличение поступления налога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423 229,94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 итогам сдачи декларации за 2022г.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камеральных проверок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-налог, взимаемый в связи с примене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нием патентной системы налогообложения, зачисляемый в бюджеты муниципальных районов при плане 3 500 020,00 руб. поступило 3 512 796,56руб. или 100,4 %. По сравнению с 2022 годом поступило в бюджет меньше на 4 841 336,67 руб. в связи со снижением количества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выданных патентов и изменением законодательства в части уменьшения суммы налога на сумму страховых взносов.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Налоги на имущество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ранспортный налог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19 405 600,00 руб. поступило 19 942 061,67 руб. или 102,8 %. 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сравнению с 2022 годом увеличение составило 3 689 568,23 руб. в связи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увеличением количества транспортных средств и налоговой ставки.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Государственная пошлина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6 200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00,00 руб. поступило 6 218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94,87 руб. или 100,3 %, в том числе: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 делам, рассматриваемым в судах общей юрисдикции, мировыми судьями поступило 6 218 094,87 руб. или 100,3%;</w:t>
      </w:r>
      <w:r/>
    </w:p>
    <w:p>
      <w:pPr>
        <w:ind w:firstLine="502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уменьшение поступления составило                    1 558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619,65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в связи со снижением количества заявителей. 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6 000 000,00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факт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6 007 893,18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%.  Из них: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-доходы,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5 125 100,00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5 150 837,87 руб. или 100,5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-доходы, получаемые в виде 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630 600,00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630 604,00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-доходы от сдачи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89 500,00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79 727,02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89,1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</w:t>
      </w:r>
      <w:r/>
    </w:p>
    <w:p>
      <w:pPr>
        <w:ind w:firstLine="142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-доходы от сдачи в аренду имущества, составляющего государственную (муниципальную) казну (за исключением земельных участков) при плане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95 800,00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89 150,03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платежи от государственных и муниципальных унитарных предприятий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9 000,00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7 501,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00руб.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83,3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прочие доходы от 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50 000,00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50 073,26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</w:t>
      </w:r>
      <w:r/>
    </w:p>
    <w:p>
      <w:pPr>
        <w:ind w:firstLine="142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поступление дохода от использования имущества, находящегося в государственной и муниципальной собственности снизилась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95 168,87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тем,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2022 году была взыскана задолженность прошлых лет.</w:t>
      </w:r>
      <w:r/>
    </w:p>
    <w:p>
      <w:pPr>
        <w:ind w:firstLine="142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Платежи при пользовании природными ресурсами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поступления составили 5 604 917,54 руб. или 100% при плане 5 605 000,00 руб. в т.ч.: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плата за выбросы загрязняющих веществ в атмосферный воздух стационарными объектами при плане 1 002 700,00 руб. поступило 968 933,79 руб. или 96,6%;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плата за сбросы загрязняющих веществ в водные объекты при плане            693 300,00руб. поступило 694 008,70 руб. или 100,1%;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плата за размещение отходов производства и потребления при плане            3 909 000,00 руб. поступило 3 941 975,05 руб. или 100,8%;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поступило данного дохода на 4 122 876,50 руб. больше в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тем, что были произведены платежи за 2022год следующими организациями: ООО «Айсберг» (полигон бытовых отходов) в сумме 2 342 600,00 руб., ФКП «Анозит» - 770 100,00 руб., АО «СИБЭКО» - 273 600,00 руб.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Доходы от оказания платных услуг и компенсации затрат государства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47 667 432,00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46 437 689,81руб., или 97,4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%. в т.ч.: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доходы от оказания платных услуг (работ)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4 492 877,33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4 823 810,36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(поступление от реализации услуг учреждений образования, культуры);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доходы, поступающие в порядке возмещения расходов, понесенных в связи с эксплуатацией имущества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849 600,40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870 167,82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102,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прочие доходы от компенсации затрат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42 324 954,27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40 743 711,63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96,3%. Поступления родительской платы за содержание детей в ДОУ и зачисления дебиторской задолженности.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поступление данного дохода уменьшилось на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3 852 579,19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,6 %,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связи с тем, что в 2022 году по муниципальному району поступал возврат остатков субсидии от бюджетных учреждений, а также уменьшилось количество детей, посещающих ДОУ.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2 739 973,00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2 842 907,08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,7 %.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них: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Доходы от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при плане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703 473,00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704 078,81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(100,1 %), в т.ч.:</w:t>
      </w:r>
      <w:r/>
    </w:p>
    <w:p>
      <w:pPr>
        <w:ind w:firstLine="96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-в части реализации основных средств по указанному имуществу 684 381,81 руб.;</w:t>
      </w:r>
      <w:r/>
    </w:p>
    <w:p>
      <w:pPr>
        <w:ind w:firstLine="96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-в части реализации материальных запасов по указанному имуществу 19 697,00руб.;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Доходы от продажи земельных участков, находящихся в государственной и муниципальной собственности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2 036 500,00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2 138 828,27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в т.ч.</w:t>
      </w:r>
      <w:r/>
    </w:p>
    <w:p>
      <w:pPr>
        <w:ind w:firstLine="96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поселений план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1 452 700,00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факт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1 555 005,84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%;</w:t>
      </w:r>
      <w:r/>
    </w:p>
    <w:p>
      <w:pPr>
        <w:ind w:firstLine="96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план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583 800,00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факт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583 822,43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100%.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снижение поступления дохода от продажи материальных и нематериальных активов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581 912,77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тем,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2022году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было реализовано больше участков, находящихся в муниципальной собственности.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Штрафы, санкции, возмещение ущерба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1 700 000,00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1 696 344,73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99,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%, в том числе: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-административные штрафы, установленные Кодексом Российской Федерации об административных правонарушениях – 432 627,88 руб. (99,8%);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-административные штрафы, установленные законами субъектов Российской Федерации об админ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 – 417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612,45 руб. (99,2%); 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штрафы, неустойки, пени, уплаченные в соответствии с законом или договором в случае неисполнения или ненадлежаще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62 645,03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3,7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платежи в целях возмещения причиненного ущерба (убытков) (в том числе доходы от денежных взысканий (штрафов), поступающие в счет погашения задолженности, образовавшейся до 1 января 2020 года) – 12 197,79 руб. (89%);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платежи по искам о возмещении вреда, причиненного окружающей среде – 771 261,58 руб. (99,9%); 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сравнению с 2022 годом поступление данного дохода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уменьшилось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1 114 050,49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39,6%,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это связано со снижением поступлений по административным штрафам, установленных Кодексом Российской Федерации об административных правонарушениях.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Прочие неналоговые доходы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поступило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,30 руб.: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 муниципальному району в сумме 90,30 руб. (невостребованные остатки денежных средств во временном распоряжении).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Возврат остатков субсидий, субвенций и иных межбюджетных трансфертов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имеющих целевое назначение, прошлых лет исполнено в сумме (-21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248 983,64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руб.).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/>
    </w:p>
    <w:p>
      <w:pPr>
        <w:ind w:firstLine="539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РАСХОДНАЯ ЧАСТЬ</w:t>
      </w:r>
      <w:r/>
    </w:p>
    <w:p>
      <w:pPr>
        <w:ind w:firstLine="53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Расходная часть бюджета Куйбышевского района в 2023 году исполнена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96,4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3 314 516 426,05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исполнение составило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3 196 174 024,06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ОБЩЕГОСУДАРСТВЕННЫЕ ВОПРОСЫ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114 962653,97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117 852 505,57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по содержанию глав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администрации Куйбышевского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района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3 884 661,37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3 889 902,63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(99,9%)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2 300 806,85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2 347 944,34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В данном разделе отражены расходы: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 денежному содержанию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редседател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Куйбышевского муниципального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2 283 949,59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2 302 477,54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расходы по обеспечению деятельности Совета депутатов Куйбышевского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района–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16 857,26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45 466,80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37,1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%). Низкий процент исполнения обусловлен несостоявшейся закупкой на приобретение канцелярских товаров.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в целом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101 009 207,37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102 265 317,55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98,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%., из них на осуществление переданных полномочий, осуществляемых за счет субвенций из областного бюджета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12 025 524,79 руб. исполнено 11 302 924 ,79руб., в т.ч.: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образование и организацию деятельности комиссии по делам несовершеннолетних и защите их прав в сумме 2 393 000,0 руб., при плане 3 115 600,0 руб. (76,8%);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обеспечение социального обслуживания отдельных категорий граждан в сумме 2 730 556,14 руб. (100%);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решение вопросов в сфере административных правонарушений в сумме 5 920,0 руб. (100%);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в сумме 1 231 670,0 руб. (100%);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в сумме 140 910,0 руб. (100%);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организацию и осуществление деятельности по опеке и попечительству, социальной поддержке детей-сирот и детей, оставшихся без попечения родителей в сумме 4 800 868,65 руб. (100%);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Также расходы по содержанию органов местного самоуправления за счет средств местного бюджета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89 706 282,58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90 239 792,76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составили или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0105 «Судебная система»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по осуществлению полномочий по составлению (изменению) списков кандидатов в присяжные заседатели федеральных судов общей юрисдикции в Российской Федерации в сумме 3 315 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по содержанию Контрольного органа Куйбышевского муниципального района в сумме 2 593 810,95 руб. при плане 2 666 707,14 руб. или 97,3%.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0113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«Другие общегосударственные вопросы»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6 679 318,91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5 170 852,43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77,4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%). По данному подразделу отражены расходы: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ЦСРР 1500070610,  15000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0610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реализацию мероприятий в рамках МП "Развитие и поддержка территориального общественног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самоуправления в Куйбышевском районе Новосибирской области» в сумме 945 863,13 руб. исполнение составило 100%, в том числе за счет областного бюджета в рамках ГП НСО "Развитие институтов региональной политики Новосибирской области" в сумме 926 000,00руб.</w:t>
      </w:r>
      <w:r/>
    </w:p>
    <w:p>
      <w:pPr>
        <w:ind w:firstLine="99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целях реализации муниципальной программы администрацией Куйбышевского района был проведен конкурс социально-значимых проектов по поддержке инициатив деятельности ТОС.</w:t>
      </w:r>
      <w:r/>
    </w:p>
    <w:p>
      <w:pPr>
        <w:ind w:firstLine="72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9900001610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межевание земельных участков, оценка недвижимости, признание прав и регулирование отношений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35 300,0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65 000,0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54,3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Низкий процент исполнения связан с отсутств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ием обращений граждан, юридических лиц на предоставление земельных участков в аренду, собственность (статья 39.11. 39.12, 39.13 Земельного кодекса). Таким образом, не было потребности в заключении договоров для оценки рыночной стоимости земельных участков.</w:t>
      </w:r>
      <w:r/>
    </w:p>
    <w:p>
      <w:pPr>
        <w:ind w:firstLine="708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9900001620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мероприятий, связанных с общегосударственным управлением (проведение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адастровых работ, ведение и содержание муниципальной казны, оплата налогов, экспертиза, авторские и технические надзоры, публикация в СМИ и радио, экспертиза жилых помещений для детей сирот, технологическое присоединение жилых домов п.Энергетик)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5 668 455,78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направлено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4 189 689,30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73,9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 Низкий процент исполнения обусловлен тем, что в ходе исполнения муниципального контракта по внесению изменений в правила землепользования и застройки Октябрьского сельсовета воз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никли независящие от сторон муниципального контракта обстоятельства, влекущие невозможность его исполнения в сроки, указанные в контракте (ведутся работы по урегулированию вопросов пересечения земельных участков, находящихся в границах населенных пунктов).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НАЦИОНАЛЬНАЯ ОБОРОНА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поселений за счет субвенций на осуществление первичного воинского учета на территориях, где отсутствуют военные комиссариаты в сумме 2 560 668,77 руб. 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НАЦИОНАЛЬНАЯ БЕЗОПАСНОСТЬ И ПРАВООХРАНИТЕЛЬНАЯ ДЕЯТЕЛЬНОСТЬ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19 949 592,19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20 236 248,51руб. или 98,6%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том числе: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1600079500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реализация мероприятий муниципальной программы "Профилактика правонарушений, терроризма и экстремизма на территории Куйбышевского района" в сумме 73 499,0руб.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1800003190, 1800070510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содержание МКУ Куйбышевского района "Центр гражданской защиты населения"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12 730 372,71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12 985 464,34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 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1800003950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муниципальной программы «Обеспечение безопасности жизнедеятельности населения Куйбышевского района»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7 145 720,48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7 177 285,17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НАЦИОНАЛЬНАЯ ЭКОНОМИКА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186 735 240,39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190 240 123,73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98,2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0405 «Сельское хозяйство и рыболовство»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900 000,0руб. исполнение составило 899 900,0 руб.(100%) – средства направлены на организацию проведения мероприятий по отлову и содержанию безнадзорных животных по переданным полномочиям за счет субвенции из областного бюджета.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0406 «Водное хозяйство»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1 320 000,0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900 680,0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68,2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направлены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Чумаковский сельсовет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разработку пакета документов по декларированию гидротехнических сооружений. Средства не освоены и возвращены в министерство природных ресурсов НСО, заявлены на возврат, исполнение в 2024 году.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0408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«Транспорт»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85 369 273,79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85 454 967,0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%).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подразделу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муниципальной программы «Обеспечение доступности услуг автобусного пассажирского транспорта, осуществляющего перевозки по муниципальным маршрутам внутрирайонного сообщения в Куйбышевском районе» средства направлены: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На реализацию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3200071100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36 444 993,0</w:t>
      </w:r>
      <w:r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>
        <w:rPr>
          <w:rFonts w:ascii="Times New Roman" w:hAnsi="Times New Roman" w:cs="Times New Roman"/>
          <w:sz w:val="28"/>
          <w:szCs w:val="28"/>
        </w:rPr>
        <w:t xml:space="preserve">36 359 299,92</w:t>
      </w:r>
      <w:r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 xml:space="preserve">99,8</w:t>
      </w:r>
      <w:r>
        <w:rPr>
          <w:rFonts w:ascii="Times New Roman" w:hAnsi="Times New Roman" w:cs="Times New Roman"/>
          <w:sz w:val="28"/>
          <w:szCs w:val="28"/>
        </w:rPr>
        <w:t xml:space="preserve">%).</w:t>
      </w:r>
      <w:r>
        <w:rPr>
          <w:rFonts w:ascii="Times New Roman" w:hAnsi="Times New Roman" w:cs="Times New Roman"/>
          <w:sz w:val="28"/>
          <w:szCs w:val="28"/>
        </w:rPr>
        <w:t xml:space="preserve"> Средства направлены в МО.г.Куйбышев.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приобретение подвижного состава пассажирского транспорта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ЦСР 3200097110</w:t>
      </w:r>
      <w:r>
        <w:rPr>
          <w:rFonts w:ascii="Times New Roman" w:hAnsi="Times New Roman" w:cs="Times New Roman"/>
          <w:sz w:val="28"/>
          <w:szCs w:val="28"/>
        </w:rPr>
        <w:t xml:space="preserve"> при плане 49 009 974,0руб. исполнено </w:t>
      </w:r>
      <w:r>
        <w:rPr>
          <w:rFonts w:ascii="Times New Roman" w:hAnsi="Times New Roman" w:cs="Times New Roman"/>
          <w:sz w:val="28"/>
          <w:szCs w:val="28"/>
        </w:rPr>
        <w:t xml:space="preserve">49 009 973,87</w:t>
      </w:r>
      <w:r>
        <w:rPr>
          <w:rFonts w:ascii="Times New Roman" w:hAnsi="Times New Roman" w:cs="Times New Roman"/>
          <w:sz w:val="28"/>
          <w:szCs w:val="28"/>
        </w:rPr>
        <w:t xml:space="preserve"> руб.(</w:t>
      </w:r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19 000 000,0руб. направлены в МО г.Куйбышев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40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0409 «Дорожное хозяйство»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97 811 869,10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99 948 974,23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97,9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подразделе отражены расходы по: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0600005956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06000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5765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муниципальной программы «Комплексное развитие сельских территорий в Куйбышевском районе»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10 419 827,69 руб.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10 419 527,69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исполнено (100%). Средства направлены в 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Булатовского, Камского, Новоичинского сельсоветы на ремонт дорог.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1000004310,1000004330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муниципальной программы "Развитие автомобильных дорог местного значения в Куйбышевском районе"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14 561 194,61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16 299 746,54руб. (89,3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%). Низкий процент исполнения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связи с отсутствием актов выполненных работ.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1000070760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по устойчивому функционированию автомобильных дорог местного значения и искусственных сооружени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73 229 400,0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исполнено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72 831 146,80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%), в том числе за счет областного бюджета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71 361 146,80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направлены поселениям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0412 «Другие вопросы в области национальной экономики»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2 616 182,50 руб. исполнено 1 753 517,50 руб. (67%),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0200070690,0200049500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реализацию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ной программы «Развитие и поддержка субъектов малого и среднего предпринимательства в Куйбышевском районе» в сумме 1 347 533,50 руб. (100%), в том числе за счет средств областного бюджета в сумме 591 583,60руб. Средства направлены на предоставление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на компенсацию части затрат по модернизации (обновлению) основных средств.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9900071200, 99000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1200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подготовку градостроительной документации и (или) внесение в неё изменений подпрограммы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 при плане 1 268 649,0руб. исполнено 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5 984,0 руб. (32%) Низкий процент исполнения обусловлен отсутствием акта выполненных работ (по муниципальному контракту на работы по подготовке проекта внесения изменений в схему территориального планирования Куйбышевского муниципального района в 2023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оплачен только аванс).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ЖИЛИЩНО-КОММУНАЛЬНОЕ ХОЗЯЙСТВО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Расходы по данному разделу осуществлены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312 250 010,36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343 967 941,22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90,8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0501 «Жилищное хозяйство»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160 393 366,55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144 539 179,47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90,1% 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9900005130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в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бласти строительства муниципального жилого фонда в сумме 21 191 746,98руб. при плане 24 769 425,42 руб., исполнено 85,6%. Низкий процент исполнения связан с отсутствием актов выполненных работ по договорам технологического присоединения, заключенных с РЭС.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9900070139, 99000R0829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предоставление жилых помещений детям-сиротам и детям, оставшимся без попечения родителей, лицам из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 числа по договорам найма специализированных жилых помещений (поддержка семьи и детей) направлено 70 208 478,94руб. при плане 70 446 362,19руб. (99,7%).За счет средств данных источников приобретено в муниципальную собственность 38 квартир для детей-сирот.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 ЦСР 9900070650,99000S0650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по на строительство (приобретение на первичном рынке) служебного жилья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строительства в Новосибирской области" в сумме 31 528 067,59руб. при плане 38 045 473,68 руб. исполнение 82,9%. Низкий процент исполнения в связи с уменьшение цены контракта на выполнение подрядных работ по строительству дома, заключенного с ООО «УГОДЬЕ».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9900070830,99000S0830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расходы, связанные со строительством специализированного жилищного фонда для предоставления отдельным категориям граждан, государстве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нной программы Новосибирской области «Стимулирование развития жилищного строительства в Новосибирской области» - средства бюджета при плане 27 132 105,26 руб., исполнение 21 610 885,96 руб. (79,6%), в том числе за счет областного бюджета 20 502 670,50 руб.</w:t>
      </w:r>
      <w: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Низкий процент исполнения в связи с тем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что исполнение контрактов в части подготовки проектной документации было приостановлено подрядчиком по причинам, от него не зависящим, устранение которых относится к компетенции заказчика, следовательно, контракты не были исполнены в сроки и не оплачены.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0502 «Коммунальное хозяйство»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180 048 226,59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164 691 287,07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91,5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них по: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17100070640, 17300S0640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реализацию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113 168 494,26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128 275 893,77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(88,2%), в том числе за счет средств областного бюджета 111 484 364,01 руб. Средства направлены на строительство водопроводных сетей по улицам города Куйбышева. Низкий процент исполнения обусловлен экономией после проведения конкурсных процедур.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1730070490,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17300S0490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реализация мероприятий по организации функционирования систем жизнеобеспечения и снабжения топливом подпрограммы "Безопасность ЖКХ" в рамках государственной программы Новосибирской области "Жилищно-коммунальное хозяйства Новосибирской области"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35 575 266,69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(100 %), в том числе за счет областного бюджета в сумме 35 216 842,30руб.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1730070600 17300S0060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области"»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11 530 159,82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(100%). Средства направлены в МО г.Куйбышев (на поставку запорной арматуры (задвижки), фекального сточно-массного насоса, труб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сумме 1 473 026,50руб.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а также на предоставление субсидии МУП «Энергия» и МУП «Гжатсксервис»,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9900001700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за счет резервного фонда Куйбышевского муни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ципального района в сумме 3 310 890,30 руб., исполнение 100%. Согласно постановления администрации Куйбышевского муниципального района Новосибирской области от 27.04.2022 №343 «Об утверждении Порядка использования бюджетных ассигнований резервного фонда 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министрации Куйбышевского муниципального района Новосибирской области», постановления администрации Куйбышевского муниципального района Новосибирской области от 27.04.2022 №344 «Об утверждении Порядка финансового обеспечения мероприятий за счет резервного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фонда администрации Куйбышевского муниципального района Новосибирской области», выделены средства на финансовое обеспечение непредвиденных расходов МУП «Энергия» (распоряжение администрации Куйбышевского муниципального района №793-р, 794-р от 18.09.2023) 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9900005220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в области коммунального хозяйства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776 590,0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исполнено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776 476,0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руб.(100%).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Средства направлены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работ по созданию мест (площадок) накопления твердых коммунальных отходов в с.Зоново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разработку проектов зон санитарной охраны источников водоснабжения и водопроводов питьевого назначения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(МУП «Гжатсксервис»).</w:t>
      </w:r>
      <w:r/>
    </w:p>
    <w:p>
      <w:pPr>
        <w:ind w:firstLine="70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 ЦСР 9900005240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на реализацию мероприятий по модернизации объектов теплоснабжения и сопутствующего холодного водоснабжения при плане 579 426,01 руб. исполнено 330 000,0 руб. или 57%. Средства бюджета направлены на работы по инженерным изысканиям в целях строитель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ства водозаборных скважин с установкой станций водоподготовки по ул. Б. Хмельницкого, ул. Звездной, по ул. Мошнинской в МО г. Куйбышеве. Низкое исполнение в связи с признанием участка по ул.Мошнинская не пригодным для строительства станции водоподготовки. </w:t>
      </w:r>
      <w:r/>
    </w:p>
    <w:p>
      <w:pPr>
        <w:ind w:firstLine="709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0503 «Благоустройство»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3 466 348,08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2 966 348,08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85,6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подразделе отражены следующие расходы: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0100079500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в рамках муниципальной программы "Содействие занятости населения Куйбышевского района" в сумме 193 278,08 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1200049570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муниципальной программы "Охрана окружающей среды Куйбышевского района Новосибирской области" при плане 2 835 000,0руб. исполнено 2 335 000,0руб. (82,4%). Средства направлены в поселения (МО Булат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овский, Верх-Ичинский, Октябрьский, Осиновский, Отрадненский сельсоветы и МО г.Куйбышев на ликвидацию несанкционированной свалки). Низкий процент исполнения обусловлен несостоявшейся закупкой на ликвидацию свалки по МО Зоновский и Чумаковский сельсоветам).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1400079570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в рамках муниципальной программы "Комплексные меры профилактики наркомании в Куйбышевском районе" в сумме 132 070,0руб. (100%). Средства направлены на выкашивание дикорастущей конопли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9900005350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прочие мероприятия по благоустройству в поселениях направлено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306 000,0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(МО Булатовский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Отрадненский сельсовет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0505 «Другие вопросы в области жилищно-коммунального хозяйства»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исполнены на сумму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53 195,74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60 000,0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88,7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9900005110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взносы на капитальный ремонт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жилого фонда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Низкий процент исполнения обусловлен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изменением суммы взносов на капитальный ремонт в связи с изменением площади муниципального жилья.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ОБРАЗОВАНИЕ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1 793 333 828,10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1 858 266 394,37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96,5%.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них: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0701 «Дошкольное образование»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в сумме 379 386 068,57руб., при плане 391 296 507,39руб. или 97%.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подразделе отражены расходы на обеспечение деятельности детских дошкольных учреждений в т.ч.: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счет субвенций на реализацию основных общеобразовательных программ в дошкольных учреждениях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0710070110)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214 201 163,80 руб. при плане 217 811 987,17руб. или 98,3%.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счет средств местного бюджета и средств субсидии на сбалансированность местных бюджетов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0710007190,07100070510)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156 678 530,63 руб. при плане 163 049 617,22руб. или 96,1 %.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0710003349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реализацию мероприятий на социальную поддержку отдельных категорий детей, обучающихся в образовательных организациях в сумме 3 309 084,14руб. при плане 5 237 613,0руб. или 63,2%. Низкое исполнение в связи с уменьшением среднесписочной численности детей.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ЦСР 071003470,07100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3470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по модернизации образования Новосибирской области  подпрограммы "Развитие дошкольного, общего и дополнительного образования детей" в рамках государственной программы Новосибирской области "Развитие образования, создание усл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овий для социализации детей и учащейся молодежи в Новосибирской области" в сумме 5 107 300,0 руб.(100%), в том числе софинансирование местного бюджета 107 300,0 руб. Средства направлены на капитальный ремонт в здании детского сада «Жемчужинка», «Родничок».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0710079500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на реализацию отдельных мероприятий муниципальной программы "Развитие системы образования Куйбышевского района" подпрограммы "Развитие дошкольного, общего и дополнительного образования детей" в сумме 89 990,0 руб. или 100%.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0702 «Общее образование»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1 106 283 483,16руб. при плане 1 152 154 977,02 руб. или 96%.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подразделе отражены расходы: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1)    по обеспечению деятельности дошкольных групп при школах, школах-интернатах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0710070110)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 сумме 31 818 018,63руб. при плане 35 388 912,83руб. или 89,9% за счет субвенции на реализацию общеобразовательных программ дошкольного образования в муниципальных образовательных организациях.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Низкое исполнение обусловлено неисполнением расходов на приобретение продуктов питания в связи со снижение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численности детей в дошкольных группах при школах, а также остаток разрезервированных средств субвенции на увеличение заработной платы педагогов не израсходован по учреждениям, имеющим сверхнормативный фонд.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2) по обеспечению деятельности школ в сумме 827 187 298,98 руб. (план 844 404 755,62руб.) или 98,5%, в т.ч.: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реализацию общеобразовательных программ в школах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0710070120)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484 833 400,0 руб.  направлено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472 390 859,41 руб. (97,4%), из них: субсидий на финансовое обеспечение выполнения муниципального задания было направлено 240 594 751,89 руб. (7-ми бюджетным учреждениям).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собственных средств района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(ЦСР0710007290)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157 569 038,05руб. направлено 162 254 033,30руб. (97,1%), из них на: предоставление субсидий на финансовое обеспечение выполнения муниципального задания было направлено 28 724 201,88руб.; субсидий на иные цели – 44 751 781,54руб.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средства на сбалансированность местных бюджетов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(0710070510)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197 317 322,32руб. исполнено 197 227 401,52 руб.(100%).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3) по содержанию школ-интернатов (ЦСР0710007390) в сумме 12 755 629,42руб., (средства местного бюджета) при плане 13 220 671,13 руб.(96,5%).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4) на социальную поддержку отдельных категорий детей, обучающихся в общеобразовательных орг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анизациях (ЦСР 0710003349) при плане 34 621 887,0руб. направлено 24 647 804,79руб.(71,2%), в том числе  предоставление субсидий на финансовое обеспечение выполнения муниципального задания -9 212 733,71руб. Данные средства направлены на питание детей с ОВЗ.</w:t>
      </w:r>
      <w: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Неисполнение обусловлено снижением количества питающихся детей.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5)на организацию получения образования обучающимися с ограниченными возможностями здоровья в отдельных общеобразовательных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(ЦСР0710070140) в сумме 75 001 900,0руб. при плане 76 099 400,0 руб.(98,6%).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6)на орг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анизацию и осуществление деятельности по опеке и попечительству, социальной поддержке детей-сирот и детей, оставшихся без попечения родителей (ЦСР9900070289) при плане 4 500 000,0 исполнено 1 294 525,51руб. (28,8%). Средства субвенции направлены на питание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одежду проезд, личные расходы и пособие детей МКОУ «Чумаковская школа-интернат», неисполнение обусловлено тем, что учреждение выпустило своих воспитанников и в дальнейшем министерство труда и социальной</w:t>
      </w:r>
      <w: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развития Новосибирской области не планирует помещать детей-сирот в МКОУ Чумаковскую школу-интернат и выражает согласие о снятии с учреждения статуса организации для детей сирот и детей, оставшихся без попечения родитетей;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   7) ЦСР (07100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3040) отражены расходы на организацию бесплатного горячего питания обучающихся, получающих начал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области", в сумме 26 973 143,63 руб. при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плане 36 436 772,22руб. или 74,0%. Низкий процент исполнения в связи с низкой посещаемостью детей.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  8) на реализацию мероприятий в рамк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ах национального проекта «Образование»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сумме 8 705 091,40руб. при плане 8 708 750,0 (100%) из них: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ЦСР (071Е151722) на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обновлени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материально-технической базы для формирования у обучающихся современных технологических и гуманитарных навыков в сумме 6 128 800,0руб. (оснащение центров "Точка роста" МКОУ Аул-Бергульская СОШ, МКОУ Октябрьская СОШ, МКОУ Школа-интернат);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ЦСР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071Е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250980)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обновлен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ие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матер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сумме 1 757 750,0руб.(100%). (капитальный ремонт МКОУ Отрадненская СОШ);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ЦСР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071Е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В51790)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 в сумме 818 541,40руб., при плане 822 200,0руб. (99,6%).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 9) (ЦСР 0710053030, 0710003350) отражены расходы за ежемесячное денежное вознаграждение за классное руководство педагогическим работникам муниципа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сумме 34 308 472,32руб. при плане 34 994 300,0руб. или 98%.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 10) ЦСР (0710002590, 071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00S2590) отражены расходы на реализацию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"Построение и развитие аппаратно-программно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го комплекса "Безопасный город" в Новосибирской области" в образовательных учреждениях в сумме 3 064 360,0 руб.(100%). Средства направлены на установку системы пожарного мониторинга в зданиях общеобразовательных учреждениям района (МКОУ ВСОШ, МБОУ СОШ №5).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11) ЦСР (071000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7500) отражены расходы на реализацию мероприятий по модернизации школьных систем образования государственной программы Новос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ибирской области "Развитие образования, создание условий для социализации детей и учащейся молодежи в Новосибирской области" в сумме 58 338 600,0руб. при плане 58 338 794,86руб., (100%). Средства направлены на капитальный ремонт МБОУ СОШ №2 и МБОУ СОШ №3.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12) ЦСР (0710004849) отражены расходы на р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еализацию мероприятий по обеспечению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ограммы Новосибирской области "Развитие образования, создание условий для социализации детей и учащейся молодежи в Новосибирской области" в сумме 528 923,36руб. при плане 705 200,0 руб.(75%). Низкий процент исполнения обусловлен низкой посещаемостью детей.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   13) Расходы на реализацию отдельных мероприятий муниципальной программы "Развитие системы образования Куйбышевского района " осуществлены в сумме 1 368 545,12 руб. при плане 1 380 003,36 руб. или 99,2%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(ЦСР 0710079500)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подпрограммы "Развитие дошкольного, общего и дополнительного образования детей" в сумме 894 680,22 руб.(100%) (средства направлены на укрепление материально-технической базы учреждений);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0720079500)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подпрограммы "Выявление и поддержка одаренных детей и талантливой молодежи Куйбышевского района" в сумме на 158 387,30 руб.(100%).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(ЦСР 0730079500)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подпрограммы "Развитие кадрового потенциа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ла системы дошкольного, общего и дополнительного образования детей" в сумме 315 477,60руб. при плане 326 935,84 руб. или 96,5%. Средства направлены на переподготовку и повышение квалификации работников образования и компенсацию проезда сельским педагогам.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14)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1600079500)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Реализация мероприятий муниципальной программы "Профилактика правонарушений, терроризма и экстремизма на территории Куйбышевского района" в сумме 291 170,0 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0703 «Дополнительное образование детей»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расходы составили 154 838 379,19 руб. при плане 159 814 135,96 руб. или 96,9%.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На содержание учреждений дополнительного образования детей в районе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0710007490, 0710070510)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плане 154 650 032,33руб. направлено 149 710 846,76 руб. (96,8%), из них: субсидий на финансовое обеспечение выполнения муниципального задания было направлено 140 505 243,08 руб., субсидий на иные цели-  899 131,270руб.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 На реализацию мероприятий по формированию системы персонифицированного финансирования учреждений дополнительного образования детей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0710007491)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направлено 4 159 500,0руб.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 На реализацию муниципальной программы "Развитие системы образования Куйбышевского района " направлено 960 682,43 руб. при плане 997 253,63 руб. или 96,3%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(ЦСР 0710079500)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подпрограммы "Развитие дошкольного, общего и дополнительного образования детей" в сумме 499 852,0 руб. при плане 501 000,0руб. (100%) (средства направлены на укрепление материально-технической базы учреждений);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0720079500)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подпрограммы "Выявление и поддержка одаренных детей и талантливой молодежи Куйбышевского района" в сумме 460 830,43руб. при плане 496 253,63 руб. или 92,9%.  Средства направлены на организацию питания участников семинара, приобретение сувенирной продукции,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путевки для одаренных детей. Низкий процент исполнения обусловлен экономией в результате снижения цены поставщиком, при участии в электронных торгах.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(ЦСР 1600079500) Реализация мероприятий муниципальной программы "Профилактика правонарушений, терроризма и экстремизма на территории Куйбышевского района" в сумме 7 350,0 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0705 «Профессиональная подготовка, переподготовка и повышение квалификации»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8 715 309,56руб. при плане 8 761 488,31 руб. (99,5%) в том числе: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0710007790,0710070510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  на содержание муниципального казённого учреждения дополнительного профессионального образования Куйбышевского района "Информационный учебно-методический центр" направлено 8 002 476,15 руб. при плане 8 028 735,30руб. или 99,7%.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на реализацию муниципальной программы "Развитие системы образования Куйбышевского района" направлено 712 833,41 руб. при плане 732 753,01руб.  или 97,3% из них: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0720079500)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роприятия в рамках подпрограммы "Выявление и поддержка одаренных детей и талантливой молодежи Куйбышевского района" в сумме 291 015,91 руб. при плане 309 435,51руб. (94%). Средства направлены на проезд и проживание детей, приобретение сувенирной продукции,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неисполнение обусловлено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отсутствием актов выполненных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0730079500)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мероприятия в рамках подпрограммы "Развитие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кадрового потенциала системы дошкольного, общего и дополнительного образования детей" в сумме 421 817,50 руб. при плане 423 317,50руб. или 99,6%. Средства направлены проведение семинаров, расходы на организацию конкурсов «Учитель года», «Воспитатель года».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По подразделу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0707 «Молодежная политика и оздоровление детей»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39 348 384,05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40 625 724,33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руб.(96,9%),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них 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(ЦСР0400007590, 0400070510)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на содержа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ние МБУ "Дом молодежи Куйбышевского района" осуществлены расходы при плане 29 041 979,89руб.  в сумме 27 793 443,29руб. или (96,7%), в том числе на финансовое обеспечение муниципального задания – 26 373 441,28руб., субсидий на иные цели – 1 420 002,01руб.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(ЦСР0740007690)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на обеспечение деятельности муниципального учреждения по проведению оздоровительной кампании детей осуществлены в сумме 1 941 435,34 руб. при плане 1 957 052,52 руб. или 99,2%. (предоставлено субсидий МБОУ ДОД «Незабудка» на финансовое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обеспечение выполнения муниципального задания в сумме 1 586 247,85 руб., субсидии на иные цели в сумме 355 157,49руб.).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на мероприятия по реализации муниципальных программ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9 626 691,92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исполнено -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9 613 505,42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%),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«Содействие занятости населения Куйбышевского района»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0100079500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исполнено – 5 236 421,92руб.(100%).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«Патриотическое воспитание граждан Куйбышевского района»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0300079500)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исполнено 1 040 000,0руб.(100%).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"Молодежь Куйбышевского района»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0400079500)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2 325 000,0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"Развитие системы образования Куйбышевского района" исполнено 656 453,50руб. при плане 669 640,0 руб. или 98%, по подпрограмме "Организация отдыха и оздоровления детей и подростков"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(0740079500).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-"Комплексные меры профилактики наркомании в Куйбышевском районе"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1400079570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– исполнено 290 630,0руб. 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"Профилактика правонарушений на территории Куйбышевского района"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1600079500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)-65 000,0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0709 «Другие вопросы в области образования»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104 762 203,57 руб. при плане 105 613 561,36 руб.(99,2%)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разделе отражены расходы: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1) содержание МКУ «Центра бухгалтерского и материально-технического обеспечения»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0710007890, 0710070510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в сумме 92 930 357,60 руб. при плане 93 780 765,36руб. (99,1%),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2) предоставление субсидии автономному учреждению «Цех полуфабрикатов» на выполнение муниципального задания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(ЦСР 9900007710)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4 182 300,0 руб. (100%).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3) по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0710003470)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по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Новосибирской обла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сти «Развитие образование, создание условий для социализации детей и учащейся молодежи в Новосибирской области» при плане 1 000 000,0руб. исполнено 999 999,97руб. (100%). Средства направлены на приобретение оборудования МКОУ Чумаковской школы-интернат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детей-сирот и детей, оставшихся без попечения родителей, с ограниченными возможностями (текущий ремонт, монтаж 17 окон).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по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0740070359, 0740079500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 отдыха и оздоровление детей и подростков при плане 6 640 996, руб. исполнено 6 640 046,0 руб.(100%)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из них в рамках ГП «Социальная поддержка в Новосибирской области» - 2 499 450,0руб.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 9900070179)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улучшение социального положения семей с детьми, по обеспечению дружественных семье и детству общественных отношен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 исполнено в сумме 9 500,0 руб.(100%). 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КУЛЬТУРА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199 411 160,47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194 573 318,65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97,6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отражены расходы: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по обеспечению деятельности учреждений культуры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(ЦСР0800008190, 0800070510)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129 078 032,60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исполнены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124 669 195,39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96,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%, из них: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·      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предоставлению субсидий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МБУК «КДЦ»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 </w:t>
      </w:r>
      <w:r/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 финансовое обеспечение выполнения муниципального задания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121 819 195,39 руб.,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-на иные цели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2 850 000,0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(средства направлены на укрепление материально технической базы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);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по содержанию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МБУК «ЦМБ»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0800008390, 0800070510)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28 931 686,41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при плане 29 273 639,55руб.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98,8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eastAsia="Symbol" w:cs="Times New Roman"/>
          <w:color w:val="000000"/>
          <w:sz w:val="28"/>
          <w:szCs w:val="28"/>
          <w:lang w:eastAsia="ru-RU"/>
        </w:rPr>
        <w:t xml:space="preserve">   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редоставление субсидии на выполнение муниципального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реализацию мероприятий муниципальной программы "Развитие туризма в Куйбышевском районе "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0500011950)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700 000,0руб.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на реализацию мероприятий муниципальной программы "Развитие культуры в Куйбышевском районе"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0800089500)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13 311 025,68руб., исполнено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Средства направлены в МО Верх-Ичинский, Горбуновский, Камский, Осиновский сельсоветы для проведения работ, связанных с капитальным ремонтом зданий СДК. 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на реализацию государственной программы Новосибирской области "Культура Новосибирской области"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26 961 411,17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27 048 462,64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%)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проведение капитального ремонта домов культуры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0800070660)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23 842 648,53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23 929 700,0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(99,6%). Средства направлены на капитальный ремонт учреждений культуры в МО Верх-Ичинского сельсовета и МО г.Куйбышев.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08000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4670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в сумме 1 871 195,10 руб. 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комплектование книжных фондов библиотек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08000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5190,0800070770,08000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0770)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1 141 166,45руб.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государственную поддержку отрасли культуры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080А255190)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сумме 106 401,09руб.(100%).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принтер, офисная мебель, стенд, печатная продукция для МБУК ЦМБ.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СОЦИАЛЬНАЯ  ПОЛИТИКА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289 490 679,53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297 342 366,65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97,4%.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1001 «Пенсионное обеспечение»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по доплате к пенсии муниципальным служащим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3 477 300,38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3 563 146,20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97,6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1002 «Социальное обслуживание населения»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114 926 159,96руб. при плане 114 998 292,86руб. (99,9%).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разделе отражены расходы по предоставлению субсидий МБУ «Комплексный центр социального обслуживания населения Куйбышевского района»: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на финансовое обеспечение выполнения муниципального задания, в том числе: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- (ЦСР 990070180)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 счет субвенции из областного бюджета 94 283 943,86руб.(100%).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99Р351630)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 счет иных межбюджетных трансфертов из областного бюджета на реализацию мероприятий по созданию системы долговременного ухода за гражданами пожилого возраста и инвалидами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области» направлено 4 123 100,0руб.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на иные цели, в том числе: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реализация муниципальной программы "Организация социально-значимых мероприятий на территории Куйбышевского района"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3000010950)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420 500 руб. (100%).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азвитие новых форм и технологий социального обслуживания семей с детьми государственной программы Новосибирской области «Социальная поддержка в Новосибирской области»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9900070109)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направлено 446 337,10руб. при плане 505 000,0руб. (88,4%).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Низкий процент исполнения обусловлен экономией по итогам конкурсных процедур.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оказание социальной помощи и социально-значимых мероприятий за счет резервного фонда администрации Куйбышевского муниципального района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9900001700)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сумме 15 634 499,0 руб. (100%). 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установка пандуса за счет резервного фонда Правительства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9900020540)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сумме 17 780,0руб. при плане 31 250,0 руб. (56,9%). Низкий процент исполнения обусловлен экономией по итогам конкурсных процедур.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1003 «Социальное обеспечение населения»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произведены расходы в сумме 10 529 955,70руб. при плане 10 561 745,0руб.  или на 99,7%. 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данном разделе отражены расходы по обеспечению жильем отдельных категорий граждан: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(ЦСР 9900051340)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средства федерального бюджета на обеспечение жильем отдельных категорий граждан, установленных Федеральным законом от 12 января 1995 года N 5-ФЗ "О ветеранах",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Указом Президента Российской Федерации от 7 мая 2008 года N 714 "Об обеспечении жильем ветеранов Великой Отечественной войны 1941 - 1945 годов" в сумме 3 839 184,0 руб. при плане 3 839 200,0 руб., исполнение 100%. (обеспечена жильем вдова ветерана ВОВ).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(ЦСР 99000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L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4979)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реализацию мероприятий ГП НСО «Обеспечение жиль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ем молодых семей в Новосибирской области» в сумме 6 644 134,45 руб. при плане 6 644 145,0 руб. (100%). За счет средств из трех источников (федеральный, областной и местный бюджеты) выплаты направлены 4 молодым семьям, имеющим право на социальную выплату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соответствии с Постановлением Правительства РФ №1710 от 30.12.2017г. и выданным Уведомлениям об указанном праве.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9900074860)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возмещение специализированной службе по вопросам похор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 46 637,25 руб., при плане 78 400,0руб. или 59,5%. Неисполнение обусловлено фактической потребностью.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1004 «Охрана семьи и детства»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154 757 779,49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162 419 698,59 или 95,3%.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 (ЦСР 9900070289)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деятельности по опеке и попечительству, социальной поддержке детей-сирот и детей, оставшихся без попечения родителей: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- выплаты приемным семьям на содержание подопечных детей (43 ребенка приёмных семьях) в сумме   6 600 000,0 руб. (100%);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- вознаграждение приемным родителям (17 приёмных родителей) в сумме   7 545 032,84 руб. (100%); 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- выплаты семьям опекунов на содержание подопечных детей (100 чел., находятся под попечительством,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39 чел. в приемных семьях) в сумме 17 467 698,51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(100%).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 9900070139)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предоставление жилых помещений детям-сиротам и детям, оставшимся без попечения 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дителей, лицам из их числа по договорам найма специализированных жилых помещений за счет средств областного бюджета в сумме 14 795 550,0 руб., исполнение 100%. Предоставлена единовременная денежная выплата (5 сертификатов) на приобретение жилого помещения.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(ЦСР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9900070399)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по строительству жилых помещений с целью оказания государственной поддержки детям-сиротам и детям, оставшихся без попечения родителей при плане – 116 011 417,24 руб., составили 108 349 498,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 руб. (93,4%). Средства областного бюджета направлены на работы по строительству двух девяти квартирных жилых домов в п. Энергетик г. Куйбышеве. Низкий процент исполнения обусловлен отсутствием актов выполненных работ (оплата по факту выполнения работ).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1006 «Другие вопросы в области социальной политики»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5 799 484,0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или 100%.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данном подразделе: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0740070929 07400S0929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реализацию мероприятий по развитию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держки населения и улучшение социального положения семей с детьми в Новосибирской области" в сумме 3 908 390,0 руб. (100%), в том числе за счет областного бюджета 3 826 300,0руб. Средства направлены на подготовку ДООЛ «Незабудка» к оздоровительной кампании</w:t>
      </w:r>
      <w: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работы по текущему ремонту в здание душевой и спального корпуса, модернизация системы видеонаблюдения на территории лагеря,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моечн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оборудовани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для пищеблока, штор, жалюзи, установк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электрогенераторн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мягк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инвентар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(постельное белье и одеяла)).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3100010850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реализацию мероприятий муниципальной программы "Муниципальная поддержка социально ориентированных некоммерческих организаций, общественных объединений и гражданских инициатив в Куйбышевском районе" в сумме 190 750руб. 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9900010210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в сумме 330 000,0руб. (100%) по предоставлению субсидий из бюджета муниципального района районной организации ветеранов-пенсионеров войны, труда, военной службы и правоохранительных органов Куйбышевского района.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ЦСР 9900010400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в сумме 298 844,0руб. (100%) на выплату денежного поощрения почетным гражданам Куйбышевского района.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 ЦСР 9900070340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реализацию мероприятий по формированию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"Социальная поддержка в Новосибирской области" в сумме 35 000,0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(100%).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9900070820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отражены расходы на реализацию мероприятий по созданию социально-экономических, организационных условий для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«Развитие системы социальной поддержки населения и улучшение социального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положения семей с детьми в Новосибирской области» в сумме 1 036 500,0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(100%).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ФИЗИЧЕСКАЯ КУЛЬТУРА И СПОРТ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По данному разделу расходы составили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47 321 699,92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49 602 090,05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95,4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%. Из них:</w:t>
      </w:r>
      <w:r/>
    </w:p>
    <w:p>
      <w:pPr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1101«Физическая культура и спорт»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1100011190, 1100070510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предоставлению субсидии МБУС "Ледовая арена "Факел" в сумме 39 502 779,60 руб., при плане 41 059 090,05 руб.(96,2%).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1102 «Массовый спорт»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отражены расходы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ЦСР 110Р570290, 110Р570290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физической культуры и спорта в Новосибирской области»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1 960 000,0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(100%). Средства направлены на установку спортивной площадки ГТО и приобретение оборудования к ней в МО Булатовского, Сергинского сельсовета.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1103 «Спорт высших достижений»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исполнены на сумму 5 858 920,32руб. при плане 6 583 000,0 (89%) по предоставленной субсидии на иные цели в рамках реализации мероприятий МП "Развитие физи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ческой культуры и спорта в Куйбышевском районе Новосибирской области" МБУ ДО «СШ». Низкий процент исполнения обусловлен отсутствием акта выполненных работ на проведение экспертизы по капитальному ремонту объекта «Строительство биатлонно-лыжного комплекса».</w:t>
      </w:r>
      <w:r/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МЕЖБЮДЖЕТНЫЕ ТРАНСФЕРТЫ ОБЩЕГО ХАРАКТЕРА</w:t>
      </w:r>
      <w:r/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БЮДЖЕТАМ СУБЪЕКТОВ РОССИЙСКОЙ ФЕДЕРАЦИИ И МУНИЦИПАЛЬНЫХ ОБРАЗОВАНИЙ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данному разделу расходы составили 234 996 332,18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при плане 235 036 926,71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100%.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1401 отражены расходы по предоставлению дотации на выравнивание бюджетной обеспеченности поселений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87 688 500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,0 руб.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подразделу 1403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147 307 832,18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руб., из них: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(ЦС 9900014030) предоставление иных межбюджетных трансфертов за счет средств районного бюджета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вопросов местного значения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4 570 432,18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-(ЦС 9900070510) предоставление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142 737 400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,0руб.</w:t>
      </w:r>
      <w:r/>
    </w:p>
    <w:p>
      <w:pPr>
        <w:ind w:firstLine="567"/>
        <w:jc w:val="center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ИСТОЧНИКИ ФИНАНСИРОВАНИЯ ДЕФИЦИТА БЮДЖЕТА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Источники финансирования дефицита бюджета при плане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76 531 951,37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руб. исполнение составило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8 963 538,99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 в т.ч.: 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Изменение остатков бюджетных средств на начало года составляли                 - 76 531 951,37 руб., на конец - 8 963 538,99 руб.</w:t>
      </w:r>
      <w:r/>
    </w:p>
    <w:p>
      <w:pPr>
        <w:ind w:firstLine="567"/>
        <w:jc w:val="both"/>
        <w:spacing w:before="100" w:before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 «Анализ показателей финансовой отчетности»</w:t>
      </w:r>
      <w:r/>
    </w:p>
    <w:p>
      <w:pPr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движении нефинансовых активов ф. 0503168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720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Остаток по счету 0 106 00 000 «Вложения в нефинансовые активы» по состоянию на 01.01.2024 г. всего –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183 070 362,47 руб.,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числе: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20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Остаток по счету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0 106 11 000 «Вложения в основные средства – недвижимое имущество»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183 048 867,47 руб.,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числе: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2354"/>
      </w:tblGrid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трех многоквартирных домов для детей-сирот в п. Энергетик 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12 987 599,79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Наружная система водоснабжения в п. 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511 254,37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Наружная система канализации в п. 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578 115,04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Наружная система теплоснабжения в п. 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2 166 711,01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двух многоквартирных жилых домов в п. 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169 900,00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домов блокированной застройки в п. 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4 132 766,45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Многоквартирный жилой дом в п. Энергетик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(служебное жилье)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48 404 665,06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Три многоквартирных жилых дома в п. Энергетик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111 775 362,94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аул Шагир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д. Сергино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п. Николаевка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с. Абрамово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с. Гжатск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с. Осиново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Модульная станция водоподготовки в с. Чумаково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28 440,00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станции водоподготовки в с. Нагорное на ул. Б.Хмельницкого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1 012 075,37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станции водоподготовки в г. Куйбышеве на ул. Мошнинская 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110 000,00</w:t>
            </w:r>
            <w:r/>
          </w:p>
        </w:tc>
      </w:tr>
      <w:tr>
        <w:trPr>
          <w:tblCellSpacing w:w="0" w:type="dxa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9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станции водоподготовки в г. Куйбышеве на ул. Звездная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1 016 337,44</w:t>
            </w:r>
            <w:r/>
          </w:p>
        </w:tc>
      </w:tr>
    </w:tbl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Значительное увеличение стоимости вложений в 2023 году связано со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роительством многоквартирных жилых домов в п. Энергетик (1 дом для служебного жилья и 3 дома для детей-сирот), строительством домов блокированной застройки в п. Энергетик, благоустройством 3-х многоквартирных жилых домов для детей-сирот в п. Энергетик, 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оительством наружных систем водоснабжения, теплоснабжения канализации в п. Энергетик, строительством десяти модульных станций водоподготовки (аул Шагир, д. Сергино, п. Николаевка, с. Абрамово, с. Гжатск, с. Осиново, с. Чумаково, с. Нагорное и г. Куйбышев).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   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Остаток по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0 106 31 000 «Вложения в основные средства – иное движимое имущество»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составляет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21 495,00 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основные средства (экран для проектора, игровые модули и пуф круглый), которые были приобретены в декабре 2023 года и приняты к учету в январе 2024 года.</w:t>
      </w:r>
      <w:r/>
    </w:p>
    <w:p>
      <w:pPr>
        <w:ind w:firstLine="708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720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счете 1 108 55 000 «Непроизведенные активы, составляющие казну»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отражены только те земельные участки, по которым у администрации Куйбышевского муниципального района, как исполнительно-распорядительного органа имеется право распоряжения в соответствии со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.19, ст.40 Земельного кодекса РФ: земельные участки, право муниципальной собственности на которые возникло при разграничении государственной собственности на землю, которые приобретены по основаниям, установленным гражданским кодексом Российской Федерации.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Данные земельные участки внесены в Единый реестр прав на недвижимое имущество и сделок с ним.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бюджетной отчетности Куйбышевского муниципального района за 2023 год отражены следующие безвозмездные неденежные поступления нефинансовых активов: 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Департамента имущества и земельных отношений Новосибирской области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tbl>
      <w:tblPr>
        <w:tblW w:w="0" w:type="auto"/>
        <w:tblCellSpacing w:w="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311"/>
        <w:gridCol w:w="3884"/>
      </w:tblGrid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балансовая стоимость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</w:t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1 108 51 310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92 463,53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1 104 51 411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92 463,53 руб.</w:t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1 108 52 310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50 195 465,03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1 104 52 411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2 301 695,76 руб.</w:t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1 108 55 330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364 110,42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Администрации города Куйбышева Куйбышевского района Новосибирской области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/>
    </w:p>
    <w:tbl>
      <w:tblPr>
        <w:tblW w:w="0" w:type="auto"/>
        <w:tblCellSpacing w:w="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311"/>
        <w:gridCol w:w="3884"/>
      </w:tblGrid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балансовая стоимость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</w:t>
            </w:r>
            <w:r/>
          </w:p>
        </w:tc>
      </w:tr>
      <w:tr>
        <w:trPr>
          <w:tblCellSpacing w:w="0" w:type="dxa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1 108 55 330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13 752,79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бухгалтерской отчетности за 2023 год отражены безвозмездные неденежные поступления (передачи) нефинансовых активов между учреждениями Куйбышевского муниципального района: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tbl>
      <w:tblPr>
        <w:tblW w:w="0" w:type="auto"/>
        <w:tblCellSpacing w:w="0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06"/>
        <w:gridCol w:w="1768"/>
        <w:gridCol w:w="1418"/>
        <w:gridCol w:w="1417"/>
        <w:gridCol w:w="1998"/>
      </w:tblGrid>
      <w:tr>
        <w:trPr>
          <w:tblCellSpacing w:w="0" w:type="dxa"/>
          <w:trHeight w:val="3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Передача материальных ценностей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3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Получение материальных ценностей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ДТ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Сумма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ДТ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Сумма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110112410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69 959,84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110851310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69 959,84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110412411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69 959,84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110451411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69 959,84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110134410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225 004,00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225 004,00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110434411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225 004,00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110452411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225 004,00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110136410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411 925,88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411 925,88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110436411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411 925,88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110452411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411 925,88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19 277 326,03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110134310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19 277 326,03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13 389 144,00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110135310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13 389 144,00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2 583 193,42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110136310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2 583 193,42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110852410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134 362,80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110138310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134 362,80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110452411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1 270 614,48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110434411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1 270 614,48</w:t>
            </w:r>
            <w:r/>
          </w:p>
        </w:tc>
      </w:tr>
      <w:tr>
        <w:trPr>
          <w:tblCellSpacing w:w="0" w:type="dxa"/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110452411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389 925,88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130404000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110436411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389 925,88</w:t>
            </w:r>
            <w:r/>
          </w:p>
        </w:tc>
      </w:tr>
    </w:tbl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едения по дебиторской и кредиторской задолженности ф.0503169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Дебиторская задолженность всего: 7 666 544 625,83 руб.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(в том числе просроченная дебиторская задолженность – 2 072,41 руб.)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 т.ч.: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0 205 00 000 «Расчеты по доходам»: 7 644 297 446,92 руб.: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числе: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задолженности по налоговым доходам 2 072,41 руб. (просроченная дебиторская задолженность 2 072,41 руб.) Недоимка прошлых лет. Отчет предоставлен УФНС.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доходов от сдачи имущества в аренду 332 794,30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задолженности от сдачи неразграниченных земель в аренду – 98 878 120,05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задолженности по родительской плате и выручке от школьных столовых по учреждениям образования за декабрь 2023 года и доходам от оказания платных услуг физическим и юридическим лицам – 3 859 179,99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задолженности по доходу от возмещения коммунальных услуг – 8 022,54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задолженности по доходам бюджета от возврата бюджетными учреждениями остатков субсидий на выполнение государственного (муниципального) задания – 18 994,26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доходов от административных штрафов, полученных от физических лиц на основании выписанных постановлений – 997 184,02 руб.,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поступлений текущего характера от других бюджетов бюджетной системы – 7 316 552 479,35 руб., из них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7 311 639 755,36 руб. – начисление по доходам будущих периодов текущего характера на период 2024-2026 годы и в сумме 4 912 723,99 руб. – начислен возврат остатков межбюджетных трансфертов прошлых лет от сельских поселений и администрации города Куйбышева. </w:t>
      </w:r>
      <w:r/>
    </w:p>
    <w:p>
      <w:pPr>
        <w:numPr>
          <w:ilvl w:val="0"/>
          <w:numId w:val="18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начисление поступлений капитального характера от других бюджетов бюджетной системы – 223 648 600,00 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б., из них в сумме 204 648 600,00 руб. – начисление по доходам будущих периодов капитального характера на период 2024-2026 годы и в сумме 19 000 000,00 руб. – начислен возврат остатков межбюджетных трансфертов прошлых лет от администрации города Куйбышева.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0 206 00 000 «Расчеты по выданным авансам»: 21 837 719,81 руб., в т.ч.:</w:t>
      </w:r>
      <w:r/>
    </w:p>
    <w:p>
      <w:pPr>
        <w:numPr>
          <w:ilvl w:val="0"/>
          <w:numId w:val="19"/>
        </w:num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услуг связи – 9 861,93 руб.,</w:t>
      </w:r>
      <w:r/>
    </w:p>
    <w:p>
      <w:pPr>
        <w:numPr>
          <w:ilvl w:val="0"/>
          <w:numId w:val="19"/>
        </w:num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в размере 30% коммунальных услуг – 1 839 643,53 руб.,</w:t>
      </w:r>
      <w:r/>
    </w:p>
    <w:p>
      <w:pPr>
        <w:numPr>
          <w:ilvl w:val="0"/>
          <w:numId w:val="19"/>
        </w:num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по работам, услугам по содержанию имущества в сумме 393 359,75 руб. – в декабре 2023 года произведено авансирование в рамках договора на выполнение дополнительных работ по ремонту здания,</w:t>
      </w:r>
      <w:r/>
    </w:p>
    <w:p>
      <w:pPr>
        <w:numPr>
          <w:ilvl w:val="0"/>
          <w:numId w:val="19"/>
        </w:num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по прочим работам, услугам в сумме 285 121,04 руб. – произведено авансирование в рамках договоров по технологическому присоединению к электрическим сетям энергопринимающих устройств, по подписке на периодические печатные издания, </w:t>
      </w:r>
      <w:r/>
    </w:p>
    <w:p>
      <w:pPr>
        <w:numPr>
          <w:ilvl w:val="0"/>
          <w:numId w:val="19"/>
        </w:num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по услугам, работам для целей капитальных вложений в сумме 18 520 950,41 руб., из них: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13 419 847,74 руб. – произведено авансирование в рамках договоров на подключение к системе теплоснабжения объектов капитального строительства,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4 624 324,27 руб. – авансирование в рамках договоров на технологическое присоединение к электрическим сетям строящихся объектов,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476 778,40 руб. – авансирование в рамках договора за услуги по оценке воздействия на водные объекты,</w:t>
      </w:r>
      <w:r/>
    </w:p>
    <w:p>
      <w:pPr>
        <w:numPr>
          <w:ilvl w:val="0"/>
          <w:numId w:val="20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на приобретение основных средств в сумме 359 211,15 руб. – произведен авансовый платеж в декабре 2023 года за поставку МФУ и учебной литературы,</w:t>
      </w:r>
      <w:r/>
    </w:p>
    <w:p>
      <w:pPr>
        <w:numPr>
          <w:ilvl w:val="0"/>
          <w:numId w:val="20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авансирование 20% за поставку ГСМ – 12 821,44 руб.,</w:t>
      </w:r>
      <w:r/>
    </w:p>
    <w:p>
      <w:pPr>
        <w:numPr>
          <w:ilvl w:val="0"/>
          <w:numId w:val="20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авансовые безвозмездные перечисления государственным и муниципальным организациям в сумме 416 750,56 руб. – остаток субсидий на выполнение государственного (муниципального) задания.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0 208 00 000 «Расчеты с подотчетными лицами»: 409 337,50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дебиторская задолженность по суммам, выданным под отчет сотрудникам учреждений для покупки маркированных конвертов.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0 303 00 000 «Расчеты по платежам в бюджеты»: 121,6 руб., в т.ч.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0 303 06 000 «Взносы по страхованию (НС и ПЗ)»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121,60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руб.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переплата за декабрь 2023 года.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Кредиторская задолженность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общей сумме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54 983 902,43 руб.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т.ч.: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0 205 00 000 «Расчеты по доходам»: 318 485,63 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.:</w:t>
      </w:r>
      <w:r/>
    </w:p>
    <w:p>
      <w:pPr>
        <w:numPr>
          <w:ilvl w:val="0"/>
          <w:numId w:val="21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налоговым доходам 16 482,79 руб.,</w:t>
      </w:r>
      <w:r/>
    </w:p>
    <w:p>
      <w:pPr>
        <w:numPr>
          <w:ilvl w:val="0"/>
          <w:numId w:val="21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родительской плате и выручке от школьной столовой по учреждениям образования – 290 284,40 руб.,</w:t>
      </w:r>
      <w:r/>
    </w:p>
    <w:p>
      <w:pPr>
        <w:numPr>
          <w:ilvl w:val="0"/>
          <w:numId w:val="21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расчеты по невыясненным поступлениям – 11 628,14 руб.,</w:t>
      </w:r>
      <w:r/>
    </w:p>
    <w:p>
      <w:pPr>
        <w:numPr>
          <w:ilvl w:val="0"/>
          <w:numId w:val="21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расчеты по иным доходам – 90,30 руб.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0 302 00 000 «Расчеты по принятым обязательствам»: 1 296 112,96 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в т.ч.: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за услуги связи за декабрь 2023 года 98 008,28 руб., срок оплаты – январь 2024 года,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коммунальным услугам за декабрь 2023 года 258 964,57 руб., срок оплаты – январь 2024 года,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арендной плате по договору долгосрочной аренды (по адресу ул. Куйбышева, 12) – 1 000,44 руб.,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прочим работам, услугам в сумме 66 952,20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задолженность за декабрь 2023 года по договорам за обслуживание оборудования автоматизированной системы централизованного оповещения (ТАСЦО), за оказание услуг по сопровождению справочно-правовой системы Консультант Плюс, срок оплаты – январь 2024 года,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услугам, работам для целей капитальных вложений в сумме 636 209,07 руб. – задолженность за технологическое присоединение к электрическим сетям,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по оплате договора на строительство многоквартирного дома для детей-сирот в сумме 1 407,10 руб.,</w:t>
      </w:r>
      <w:r/>
    </w:p>
    <w:p>
      <w:pPr>
        <w:numPr>
          <w:ilvl w:val="0"/>
          <w:numId w:val="22"/>
        </w:numPr>
        <w:ind w:firstLine="73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задолженность за ГСМ за декабрь 2023 года в сумме 233 571,30 руб., срок оплаты – январь 2024 года.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0 303 00 000 «Расчеты по платежам в бюджеты»: 53 369 303,84 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начислен возврат неиспользованных остатков целевых межбюджетных трансфертов, полученных в 2023 году и подлежащих возврату в доход бюджета, из которого они были ранее предоставлены, из них:</w:t>
      </w:r>
      <w:r/>
    </w:p>
    <w:p>
      <w:pPr>
        <w:ind w:firstLine="94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труда и социального развития Новосибирской области – 1 011 457,79 руб.,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т.ч. по: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57 483,30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организацию и осуществление деятельности по опеке и попечительству, социальной поддержке детей-сирот и детей, оставшихся без попечения родителей – 953 974,49 руб.;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Управление ветеринарии Новосибирской области – 100,00 руб.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субвенции на организацию мероприятий при осуществлении деятельности по обращению с животными без владельцев;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строительства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8 364 689,26 руб.,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т.ч. по: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осуществление строительства жилых помещений для предоставления гражданам, указанным в статье 8 Федерального закона от 21 декабря 1996 года №159-ФЗ "О дополнительных гарантиях по социальной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поддержке детей-сирот и детей, оставшихся без попечения родителей" – 7 650 014,88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субсидии на оплату расходо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в, связанных со строительством специализированного жилищного фонда для предоставления отдельным категориям граждан, государственной программы Новосибирской области «Стимулирование развития жилищного строительства в Новосибирской области» – 714 674,38 руб.;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94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образования, науки и инновационной политики Новосибирской области – 20 199 532,79 руб.,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т.ч. по:</w:t>
      </w:r>
      <w:r/>
    </w:p>
    <w:p>
      <w:pPr>
        <w:ind w:firstLine="94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социальную поддержку отдельных категорий детей, обучающихся в образовательных организациях – 2 902 611,07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реализацию основных общеобразовательных программ в муниципальных общеобразовательных организациях – 11 366 240,59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субвенции на реализацию основных общеобразовательных программ дошкольного образования в муниципальных образовательных организациях – 5 872 217,57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 иным межбюджетным трансфертам на ежемесячное денежное вознаграждение за классное руководство педагогическим рабо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(средства областного бюджета) – 57 186,92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 иным межбюджетным трансфертам на обеспечение питанием на льготных условиях детей военнослужащих, обучающихся по программам основного общего образования и среднего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– 1 276,64 руб.;</w:t>
      </w:r>
      <w:r/>
    </w:p>
    <w:p>
      <w:pPr>
        <w:ind w:firstLine="94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финансов и налоговой политики Новосибирской области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106 286,13 руб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(из них 16 365,33 руб.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остаток межбюджетных трансфертов перечисленных в текущем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администрации Камского сельсовета и 89 920,80 руб. – восстановленный по подтвержденной потребности остаток неиспользованных межбюджетных трансфертов 2022 года по администрации Куйбышевского муниципального района);</w:t>
      </w:r>
      <w:r/>
    </w:p>
    <w:p>
      <w:pPr>
        <w:ind w:firstLine="94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транспорта и дорожного хозяйства Новосибирской области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21 932 557,86 руб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т.ч. по: 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субсидии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обильных дорог регионального, межмуниципального и местного значения в Новосибирской области" – 2 496 598,79 руб. (из них по администрации Куйбышевского муниципального района – 398 253,20 руб. и по администрации Абрамовского сельсовета – 2 098 345,59 руб.),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субсидии на осуществление полномочий по организации регулярных перевозок пассажиров и багажа по муниципальным маршру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там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метрополитена", для населения Новосибирской области (по администрации города Куйбышева) – 435 959,07 руб.,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средствам на приобретение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 (по администрации города Куйбышева) – 19 000 000,00 руб.;</w:t>
      </w:r>
      <w:r/>
    </w:p>
    <w:p>
      <w:pPr>
        <w:ind w:firstLine="94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ind w:firstLine="94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Министерство природных ресурсов и экологии Новосибирской области 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1 754 680,01 руб.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субсидии на проведение капитального ремонта и поддержание безопасного технического состояния гидротехнических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ооружений Новосибирской области государственной программы Новосибирской области "Охрана окружающей среды" (из них 900 680,00 руб. – остаток межбюджетных трансфертов перечисленных в текущем году по администрации Чумаковского сельсовета и 854 000,01 руб. –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восстановленный по подтвержденной потребности остаток неиспользованных межбюджетных трансфертов 2022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(по администрации Абрамовского сельсовета – 425 000,00 руб. и по администрации Октябрьского сельсовета – 429 000,01 руб.).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Вся дебиторская и кредиторская задолженность, отраженная в балансе исполнения бюджета, подтверждена актами сверок с поставщиками и подрядчиками.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 же в ф.0503369 по счету 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401 40 0000 отражены доходы будущих периодов к признанию в 2024-2026 гг., а по счету 0 401 60 000 отражены резервы предстоящих расходов по заработной плате и суммам страховых отчислений по заработной плате, а также по услугам связи и коммунальным услугам.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финансовых вложениях получателя бюджетных средств представлены в ф.0503171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0 204 32 000 – 300 000,00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вложения в уставный фонд МУПов, учредителями которых являются администрация Куйбышевского муниципального района.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 0 204 33 000 – 910 240 031,71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расчеты с учреждениями в части формирования стоимости переданного в оперативное управление особо ценного имущества.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ф. 0503172</w:t>
      </w:r>
      <w:r/>
    </w:p>
    <w:p>
      <w:pPr>
        <w:ind w:firstLine="94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94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Показатели отсутствуют.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8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об изменении остатков валюты баланса ф. 0503173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Изменяются входящие остатки на 01.01.2023 по следующим счетам:</w:t>
      </w:r>
      <w:r/>
    </w:p>
    <w:p>
      <w:pPr>
        <w:ind w:firstLine="708"/>
        <w:jc w:val="both"/>
        <w:spacing w:before="100" w:after="10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</w:t>
      </w:r>
      <w:r>
        <w:rPr>
          <w:rFonts w:ascii="Calibri" w:hAnsi="Calibri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Код причины 06 – иные причины в сумме –4165,24 руб. (отчет предоставлен УФНС)</w:t>
      </w:r>
      <w:r/>
    </w:p>
    <w:p>
      <w:pPr>
        <w:ind w:firstLine="708"/>
        <w:jc w:val="both"/>
        <w:spacing w:before="100" w:after="10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 «Прочие вопросы деятельности»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8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Баланс исполнения бюджета форма 0503120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счету 303 «Расчеты по платежам в бюджеты» на конец отчетного периода в сумме 53 369 303,84 руб. начислен возврат неиспользованных остатков целевых межбюджетных трансфертов, полученных в 2023 году и подлежащих возврату в доход бюдже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та, из которого они были ранее предоставлены, из них в сумме 23 305 350,00 руб. – в бюджет администрации Куйбышевского муниципального района возвращены остатки целевых межбюджетных трансфертов из администрации сельских поселений и города Куйбышева, в т.ч.: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2 523 345,59 руб. – из администрации Абрамовского сельсовета,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16 365,33 руб. – из администрации Камского сельсовета,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429 000,01 руб. – из администрации Октябрьского сельсовета,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900 680,00 руб. – из администрации Чумаковского сельсовета</w:t>
      </w:r>
      <w:r/>
    </w:p>
    <w:p>
      <w:pPr>
        <w:ind w:firstLine="56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19 435 959,07 руб. – из администрации города Куйбышева.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708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финансовых результатах деятельности форма 0503121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947"/>
        <w:jc w:val="both"/>
        <w:spacing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счету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0 401 10 173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сумма доходов имеет отрицательное значение –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3 569,67 руб.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Это связано со списанием сумм дебиторской задолженности по доходам нереальных к взысканию. 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об исполнении судебных решений по денежным обязательствам бюджета форма 0503296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состоянию на 01.01.2024 года не исполненные денежные обязательства отсутствуют.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вложениях в объекты недвижимого имущества, объекты незавершенного строительства представлены в форме 0503190</w:t>
      </w:r>
      <w:r/>
    </w:p>
    <w:p>
      <w:pPr>
        <w:ind w:firstLine="709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состоянию на 01.01.2024 года на счете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0 106 11 000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«Вложения в основные средства – недвижимое имущество»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числится незавершенное строительство и вложения в недвижимость в сумме 183 048 867,47 руб. Данные капитальные вложения сформированы в 2022-2023 годах.</w:t>
      </w:r>
      <w:r/>
    </w:p>
    <w:p>
      <w:pPr>
        <w:ind w:firstLine="851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2519"/>
      </w:tblGrid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Глава Куйбышевского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О.В. Караваев</w:t>
            </w:r>
            <w:r/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бухгалтерского учета и отчетности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Ю.А. Савинова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1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  <w:t xml:space="preserve"> </w:t>
            </w:r>
            <w:r/>
          </w:p>
        </w:tc>
      </w:tr>
    </w:tbl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ahoma" w:hAnsi="Tahoma" w:eastAsia="Times New Roman" w:cs="Tahom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"/>
      <w:lvlJc w:val="left"/>
      <w:pPr>
        <w:ind w:left="13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9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737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8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0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2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4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6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8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0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2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1"/>
  </w:num>
  <w:num w:numId="5">
    <w:abstractNumId w:val="20"/>
  </w:num>
  <w:num w:numId="6">
    <w:abstractNumId w:val="13"/>
  </w:num>
  <w:num w:numId="7">
    <w:abstractNumId w:val="7"/>
  </w:num>
  <w:num w:numId="8">
    <w:abstractNumId w:val="19"/>
  </w:num>
  <w:num w:numId="9">
    <w:abstractNumId w:val="18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15"/>
  </w:num>
  <w:num w:numId="17">
    <w:abstractNumId w:val="3"/>
  </w:num>
  <w:num w:numId="18">
    <w:abstractNumId w:val="16"/>
  </w:num>
  <w:num w:numId="19">
    <w:abstractNumId w:val="8"/>
  </w:num>
  <w:num w:numId="20">
    <w:abstractNumId w:val="1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78"/>
    <w:next w:val="678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Заголовок Знак"/>
    <w:basedOn w:val="688"/>
    <w:link w:val="718"/>
    <w:uiPriority w:val="10"/>
    <w:rPr>
      <w:sz w:val="48"/>
      <w:szCs w:val="48"/>
    </w:rPr>
  </w:style>
  <w:style w:type="paragraph" w:styleId="720">
    <w:name w:val="Subtitle"/>
    <w:basedOn w:val="678"/>
    <w:next w:val="678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basedOn w:val="688"/>
    <w:link w:val="720"/>
    <w:uiPriority w:val="11"/>
    <w:rPr>
      <w:sz w:val="24"/>
      <w:szCs w:val="24"/>
    </w:rPr>
  </w:style>
  <w:style w:type="paragraph" w:styleId="722">
    <w:name w:val="Quote"/>
    <w:basedOn w:val="678"/>
    <w:next w:val="678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8"/>
    <w:next w:val="678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8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basedOn w:val="688"/>
    <w:link w:val="726"/>
    <w:uiPriority w:val="99"/>
  </w:style>
  <w:style w:type="paragraph" w:styleId="728">
    <w:name w:val="Footer"/>
    <w:basedOn w:val="678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basedOn w:val="688"/>
    <w:uiPriority w:val="99"/>
  </w:style>
  <w:style w:type="paragraph" w:styleId="730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 w:themeColor="hyperlink"/>
      <w:u w:val="single"/>
    </w:rPr>
  </w:style>
  <w:style w:type="paragraph" w:styleId="859">
    <w:name w:val="footnote text"/>
    <w:basedOn w:val="678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88"/>
    <w:uiPriority w:val="99"/>
    <w:unhideWhenUsed/>
    <w:rPr>
      <w:vertAlign w:val="superscript"/>
    </w:rPr>
  </w:style>
  <w:style w:type="paragraph" w:styleId="862">
    <w:name w:val="endnote text"/>
    <w:basedOn w:val="678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88"/>
    <w:uiPriority w:val="99"/>
    <w:semiHidden/>
    <w:unhideWhenUsed/>
    <w:rPr>
      <w:vertAlign w:val="superscript"/>
    </w:rPr>
  </w:style>
  <w:style w:type="paragraph" w:styleId="865">
    <w:name w:val="toc 1"/>
    <w:basedOn w:val="678"/>
    <w:next w:val="678"/>
    <w:uiPriority w:val="39"/>
    <w:unhideWhenUsed/>
    <w:pPr>
      <w:spacing w:after="57"/>
    </w:pPr>
  </w:style>
  <w:style w:type="paragraph" w:styleId="866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7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8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9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70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1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2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3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8"/>
    <w:next w:val="678"/>
    <w:uiPriority w:val="99"/>
    <w:unhideWhenUsed/>
    <w:pPr>
      <w:spacing w:after="0"/>
    </w:pPr>
  </w:style>
  <w:style w:type="numbering" w:styleId="876" w:customStyle="1">
    <w:name w:val="Нет списка1"/>
    <w:next w:val="690"/>
    <w:uiPriority w:val="99"/>
    <w:semiHidden/>
    <w:unhideWhenUsed/>
  </w:style>
  <w:style w:type="paragraph" w:styleId="877" w:customStyle="1">
    <w:name w:val="msonormal"/>
    <w:basedOn w:val="67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Normal (Web)"/>
    <w:basedOn w:val="678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Body Text Indent"/>
    <w:basedOn w:val="678"/>
    <w:link w:val="88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 w:customStyle="1">
    <w:name w:val="Основной текст с отступом Знак"/>
    <w:basedOn w:val="688"/>
    <w:link w:val="87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>
    <w:name w:val="List Paragraph"/>
    <w:basedOn w:val="678"/>
    <w:uiPriority w:val="3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2">
    <w:name w:val="Strong"/>
    <w:basedOn w:val="688"/>
    <w:uiPriority w:val="22"/>
    <w:qFormat/>
    <w:rPr>
      <w:b/>
      <w:bCs/>
    </w:rPr>
  </w:style>
  <w:style w:type="paragraph" w:styleId="883">
    <w:name w:val="Balloon Text"/>
    <w:basedOn w:val="678"/>
    <w:link w:val="8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688"/>
    <w:link w:val="88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FE27-69CD-490F-8F18-9D2C6B45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Ivanistova_tv</dc:creator>
  <cp:keywords/>
  <dc:description/>
  <cp:revision>49</cp:revision>
  <dcterms:created xsi:type="dcterms:W3CDTF">2024-03-18T06:42:00Z</dcterms:created>
  <dcterms:modified xsi:type="dcterms:W3CDTF">2024-04-08T02:47:48Z</dcterms:modified>
</cp:coreProperties>
</file>